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664" w:type="pct"/>
        <w:tblInd w:w="-572" w:type="dxa"/>
        <w:tblLook w:val="04A0" w:firstRow="1" w:lastRow="0" w:firstColumn="1" w:lastColumn="0" w:noHBand="0" w:noVBand="1"/>
      </w:tblPr>
      <w:tblGrid>
        <w:gridCol w:w="5450"/>
        <w:gridCol w:w="5450"/>
      </w:tblGrid>
      <w:tr w:rsidR="006411B4" w:rsidRPr="00455168" w14:paraId="51002134" w14:textId="77777777" w:rsidTr="00CF6149">
        <w:tc>
          <w:tcPr>
            <w:tcW w:w="5000" w:type="pct"/>
            <w:gridSpan w:val="2"/>
            <w:tcBorders>
              <w:top w:val="single" w:sz="4" w:space="0" w:color="auto"/>
              <w:bottom w:val="single" w:sz="4" w:space="0" w:color="auto"/>
            </w:tcBorders>
          </w:tcPr>
          <w:p w14:paraId="2EE4A245" w14:textId="77777777" w:rsidR="006411B4" w:rsidRPr="00455168" w:rsidRDefault="006411B4" w:rsidP="00CF6149">
            <w:pPr>
              <w:jc w:val="center"/>
              <w:rPr>
                <w:rFonts w:asciiTheme="majorHAnsi" w:hAnsiTheme="majorHAnsi"/>
                <w:sz w:val="32"/>
                <w:szCs w:val="32"/>
                <w:lang w:val="en-AU"/>
              </w:rPr>
            </w:pPr>
            <w:r w:rsidRPr="00455168">
              <w:rPr>
                <w:rFonts w:asciiTheme="majorHAnsi" w:hAnsiTheme="majorHAnsi"/>
                <w:noProof/>
                <w:sz w:val="32"/>
                <w:szCs w:val="32"/>
                <w:lang w:val="en-US"/>
              </w:rPr>
              <w:drawing>
                <wp:anchor distT="0" distB="0" distL="114300" distR="114300" simplePos="0" relativeHeight="251659264" behindDoc="1" locked="0" layoutInCell="1" allowOverlap="1" wp14:anchorId="0B130D0A" wp14:editId="74E7FB64">
                  <wp:simplePos x="0" y="0"/>
                  <wp:positionH relativeFrom="margin">
                    <wp:posOffset>-93980</wp:posOffset>
                  </wp:positionH>
                  <wp:positionV relativeFrom="paragraph">
                    <wp:posOffset>-6350</wp:posOffset>
                  </wp:positionV>
                  <wp:extent cx="7082155" cy="1046392"/>
                  <wp:effectExtent l="0" t="0" r="4445" b="0"/>
                  <wp:wrapNone/>
                  <wp:docPr id="1" name="Picture 1" descr="C:\Users\TSUser\AppData\Local\Microsoft\Windows\INetCache\Content.Word\AP logo banner and niho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ser\AppData\Local\Microsoft\Windows\INetCache\Content.Word\AP logo banner and niho (HIGH RES).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2749"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2092F" w14:textId="77777777" w:rsidR="006411B4" w:rsidRPr="00455168" w:rsidRDefault="006411B4" w:rsidP="00CF6149">
            <w:pPr>
              <w:jc w:val="center"/>
              <w:rPr>
                <w:rFonts w:asciiTheme="majorHAnsi" w:hAnsiTheme="majorHAnsi" w:cstheme="minorHAnsi"/>
                <w:sz w:val="28"/>
                <w:szCs w:val="28"/>
                <w:lang w:val="en-AU"/>
              </w:rPr>
            </w:pPr>
          </w:p>
          <w:p w14:paraId="5E971AED" w14:textId="77777777" w:rsidR="006411B4" w:rsidRPr="00455168" w:rsidRDefault="006411B4" w:rsidP="00CF6149">
            <w:pPr>
              <w:jc w:val="center"/>
              <w:rPr>
                <w:rFonts w:asciiTheme="majorHAnsi" w:hAnsiTheme="majorHAnsi"/>
                <w:sz w:val="28"/>
                <w:szCs w:val="28"/>
                <w:lang w:val="en-AU"/>
              </w:rPr>
            </w:pPr>
          </w:p>
          <w:p w14:paraId="65F0E18B" w14:textId="77777777" w:rsidR="006411B4" w:rsidRPr="00455168" w:rsidRDefault="006411B4" w:rsidP="00CF6149">
            <w:pPr>
              <w:jc w:val="center"/>
              <w:rPr>
                <w:rFonts w:asciiTheme="majorHAnsi" w:hAnsiTheme="majorHAnsi"/>
                <w:sz w:val="28"/>
                <w:szCs w:val="28"/>
                <w:lang w:val="en-AU"/>
              </w:rPr>
            </w:pPr>
          </w:p>
          <w:p w14:paraId="65097D77" w14:textId="77777777" w:rsidR="006411B4" w:rsidRPr="00455168" w:rsidRDefault="006411B4" w:rsidP="00CF6149">
            <w:pPr>
              <w:jc w:val="center"/>
              <w:rPr>
                <w:rFonts w:asciiTheme="majorHAnsi" w:hAnsiTheme="majorHAnsi"/>
                <w:sz w:val="28"/>
                <w:szCs w:val="28"/>
                <w:lang w:val="en-AU"/>
              </w:rPr>
            </w:pPr>
          </w:p>
          <w:p w14:paraId="381F349E" w14:textId="75A6B5F2" w:rsidR="006411B4" w:rsidRPr="00455168" w:rsidRDefault="00283DD6" w:rsidP="00CF6149">
            <w:pPr>
              <w:jc w:val="center"/>
              <w:rPr>
                <w:rFonts w:asciiTheme="majorHAnsi" w:hAnsiTheme="majorHAnsi"/>
                <w:b/>
                <w:i/>
                <w:sz w:val="72"/>
                <w:szCs w:val="72"/>
                <w:lang w:val="en-AU"/>
              </w:rPr>
            </w:pPr>
            <w:r>
              <w:rPr>
                <w:rFonts w:asciiTheme="majorHAnsi" w:hAnsiTheme="majorHAnsi"/>
                <w:b/>
                <w:i/>
                <w:sz w:val="72"/>
                <w:szCs w:val="72"/>
                <w:lang w:val="en-AU"/>
              </w:rPr>
              <w:t>Te Reo Māori Planning</w:t>
            </w:r>
          </w:p>
          <w:p w14:paraId="493D5559" w14:textId="77777777" w:rsidR="000C5F55" w:rsidRPr="00455168" w:rsidRDefault="000C5F55" w:rsidP="00CF6149">
            <w:pPr>
              <w:jc w:val="center"/>
              <w:rPr>
                <w:rFonts w:asciiTheme="majorHAnsi" w:hAnsiTheme="majorHAnsi" w:cstheme="minorHAnsi"/>
                <w:sz w:val="32"/>
                <w:szCs w:val="32"/>
                <w:lang w:val="en-AU"/>
              </w:rPr>
            </w:pPr>
          </w:p>
        </w:tc>
      </w:tr>
      <w:tr w:rsidR="006411B4" w:rsidRPr="00455168" w14:paraId="007522CE" w14:textId="77777777" w:rsidTr="00CF6149">
        <w:tc>
          <w:tcPr>
            <w:tcW w:w="2500" w:type="pct"/>
            <w:tcBorders>
              <w:top w:val="single" w:sz="4" w:space="0" w:color="auto"/>
              <w:bottom w:val="single" w:sz="4" w:space="0" w:color="auto"/>
            </w:tcBorders>
          </w:tcPr>
          <w:p w14:paraId="0D06BAFC" w14:textId="77777777" w:rsidR="006411B4" w:rsidRPr="00455168" w:rsidRDefault="006411B4" w:rsidP="00CF6149">
            <w:pPr>
              <w:spacing w:line="276" w:lineRule="auto"/>
              <w:rPr>
                <w:rFonts w:asciiTheme="majorHAnsi" w:hAnsiTheme="majorHAnsi"/>
                <w:b/>
                <w:i/>
                <w:sz w:val="56"/>
                <w:szCs w:val="56"/>
                <w:lang w:val="en-AU"/>
              </w:rPr>
            </w:pPr>
            <w:r w:rsidRPr="00455168">
              <w:rPr>
                <w:rFonts w:asciiTheme="majorHAnsi" w:hAnsiTheme="majorHAnsi"/>
                <w:b/>
                <w:i/>
                <w:sz w:val="56"/>
                <w:szCs w:val="56"/>
                <w:lang w:val="en-AU"/>
              </w:rPr>
              <w:t>Curriculum</w:t>
            </w:r>
          </w:p>
          <w:p w14:paraId="56400906"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The proficiency target statements set out in very broad terms what students should be able to do at each pair of curriculum levels:</w:t>
            </w:r>
          </w:p>
          <w:p w14:paraId="71A6FCD9" w14:textId="77777777" w:rsidR="006411B4" w:rsidRPr="00455168" w:rsidRDefault="006411B4" w:rsidP="00CF6149">
            <w:pPr>
              <w:spacing w:line="276" w:lineRule="auto"/>
              <w:rPr>
                <w:rFonts w:asciiTheme="majorHAnsi" w:hAnsiTheme="majorHAnsi" w:cstheme="minorHAnsi"/>
                <w:sz w:val="20"/>
                <w:szCs w:val="20"/>
                <w:lang w:val="en-AU"/>
              </w:rPr>
            </w:pPr>
          </w:p>
          <w:p w14:paraId="2E3F1096" w14:textId="77777777" w:rsidR="006411B4" w:rsidRPr="00455168" w:rsidRDefault="006411B4" w:rsidP="00CF6149">
            <w:pPr>
              <w:pStyle w:val="ListParagraph"/>
              <w:numPr>
                <w:ilvl w:val="0"/>
                <w:numId w:val="1"/>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Levels 1-2 </w:t>
            </w:r>
            <w:r w:rsidRPr="00455168">
              <w:rPr>
                <w:rFonts w:asciiTheme="majorHAnsi" w:hAnsiTheme="majorHAnsi" w:cstheme="minorHAnsi"/>
                <w:b/>
                <w:sz w:val="20"/>
                <w:szCs w:val="20"/>
                <w:lang w:val="en-AU"/>
              </w:rPr>
              <w:t xml:space="preserve">Te </w:t>
            </w:r>
            <w:proofErr w:type="spellStart"/>
            <w:r w:rsidRPr="00455168">
              <w:rPr>
                <w:rFonts w:asciiTheme="majorHAnsi" w:hAnsiTheme="majorHAnsi" w:cstheme="minorHAnsi"/>
                <w:b/>
                <w:sz w:val="20"/>
                <w:szCs w:val="20"/>
                <w:lang w:val="en-AU"/>
              </w:rPr>
              <w:t>Whakatōtanga</w:t>
            </w:r>
            <w:proofErr w:type="spellEnd"/>
            <w:r w:rsidRPr="00455168">
              <w:rPr>
                <w:rFonts w:asciiTheme="majorHAnsi" w:hAnsiTheme="majorHAnsi" w:cstheme="minorHAnsi"/>
                <w:sz w:val="20"/>
                <w:szCs w:val="20"/>
                <w:lang w:val="en-AU"/>
              </w:rPr>
              <w:t xml:space="preserve"> (Beginning to use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w:t>
            </w:r>
          </w:p>
          <w:p w14:paraId="446C18CB" w14:textId="77777777" w:rsidR="006411B4" w:rsidRPr="00455168" w:rsidRDefault="006411B4" w:rsidP="00CF6149">
            <w:pPr>
              <w:pStyle w:val="ListParagraph"/>
              <w:numPr>
                <w:ilvl w:val="0"/>
                <w:numId w:val="1"/>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Levels 3-4 </w:t>
            </w:r>
            <w:r w:rsidRPr="00455168">
              <w:rPr>
                <w:rFonts w:asciiTheme="majorHAnsi" w:hAnsiTheme="majorHAnsi" w:cstheme="minorHAnsi"/>
                <w:b/>
                <w:sz w:val="20"/>
                <w:szCs w:val="20"/>
                <w:lang w:val="en-AU"/>
              </w:rPr>
              <w:t xml:space="preserve">Te </w:t>
            </w:r>
            <w:proofErr w:type="spellStart"/>
            <w:r w:rsidRPr="00455168">
              <w:rPr>
                <w:rFonts w:asciiTheme="majorHAnsi" w:hAnsiTheme="majorHAnsi" w:cstheme="minorHAnsi"/>
                <w:b/>
                <w:sz w:val="20"/>
                <w:szCs w:val="20"/>
                <w:lang w:val="en-AU"/>
              </w:rPr>
              <w:t>Tupuranga</w:t>
            </w:r>
            <w:proofErr w:type="spellEnd"/>
            <w:r w:rsidRPr="00455168">
              <w:rPr>
                <w:rFonts w:asciiTheme="majorHAnsi" w:hAnsiTheme="majorHAnsi" w:cstheme="minorHAnsi"/>
                <w:b/>
                <w:sz w:val="20"/>
                <w:szCs w:val="20"/>
                <w:lang w:val="en-AU"/>
              </w:rPr>
              <w:t xml:space="preserve"> </w:t>
            </w:r>
            <w:r w:rsidRPr="00455168">
              <w:rPr>
                <w:rFonts w:asciiTheme="majorHAnsi" w:hAnsiTheme="majorHAnsi" w:cstheme="minorHAnsi"/>
                <w:sz w:val="20"/>
                <w:szCs w:val="20"/>
                <w:lang w:val="en-AU"/>
              </w:rPr>
              <w:t xml:space="preserve">(Developing communication skills in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w:t>
            </w:r>
          </w:p>
          <w:p w14:paraId="01FFF679" w14:textId="77777777" w:rsidR="006411B4" w:rsidRPr="00455168" w:rsidRDefault="006411B4" w:rsidP="00CF6149">
            <w:pPr>
              <w:pStyle w:val="ListParagraph"/>
              <w:numPr>
                <w:ilvl w:val="0"/>
                <w:numId w:val="1"/>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Levels 5-6 </w:t>
            </w:r>
            <w:r w:rsidRPr="00455168">
              <w:rPr>
                <w:rFonts w:asciiTheme="majorHAnsi" w:hAnsiTheme="majorHAnsi" w:cstheme="minorHAnsi"/>
                <w:b/>
                <w:sz w:val="20"/>
                <w:szCs w:val="20"/>
                <w:lang w:val="en-AU"/>
              </w:rPr>
              <w:t xml:space="preserve">Te </w:t>
            </w:r>
            <w:proofErr w:type="spellStart"/>
            <w:r w:rsidRPr="00455168">
              <w:rPr>
                <w:rFonts w:asciiTheme="majorHAnsi" w:hAnsiTheme="majorHAnsi" w:cstheme="minorHAnsi"/>
                <w:b/>
                <w:sz w:val="20"/>
                <w:szCs w:val="20"/>
                <w:lang w:val="en-AU"/>
              </w:rPr>
              <w:t>Puāwaitanga</w:t>
            </w:r>
            <w:proofErr w:type="spellEnd"/>
            <w:r w:rsidRPr="00455168">
              <w:rPr>
                <w:rFonts w:asciiTheme="majorHAnsi" w:hAnsiTheme="majorHAnsi" w:cstheme="minorHAnsi"/>
                <w:b/>
                <w:sz w:val="20"/>
                <w:szCs w:val="20"/>
                <w:lang w:val="en-AU"/>
              </w:rPr>
              <w:t xml:space="preserve"> </w:t>
            </w:r>
            <w:r w:rsidRPr="00455168">
              <w:rPr>
                <w:rFonts w:asciiTheme="majorHAnsi" w:hAnsiTheme="majorHAnsi" w:cstheme="minorHAnsi"/>
                <w:sz w:val="20"/>
                <w:szCs w:val="20"/>
                <w:lang w:val="en-AU"/>
              </w:rPr>
              <w:t xml:space="preserve">(Achieving social competence in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w:t>
            </w:r>
          </w:p>
          <w:p w14:paraId="539F2173" w14:textId="77777777" w:rsidR="006411B4" w:rsidRPr="00455168" w:rsidRDefault="006411B4" w:rsidP="00CF6149">
            <w:pPr>
              <w:pStyle w:val="ListParagraph"/>
              <w:numPr>
                <w:ilvl w:val="0"/>
                <w:numId w:val="1"/>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Levels 7-8 </w:t>
            </w:r>
            <w:r w:rsidRPr="00455168">
              <w:rPr>
                <w:rFonts w:asciiTheme="majorHAnsi" w:hAnsiTheme="majorHAnsi" w:cstheme="minorHAnsi"/>
                <w:b/>
                <w:sz w:val="20"/>
                <w:szCs w:val="20"/>
                <w:lang w:val="en-AU"/>
              </w:rPr>
              <w:t xml:space="preserve">Te </w:t>
            </w:r>
            <w:proofErr w:type="spellStart"/>
            <w:r w:rsidRPr="00455168">
              <w:rPr>
                <w:rFonts w:asciiTheme="majorHAnsi" w:hAnsiTheme="majorHAnsi" w:cstheme="minorHAnsi"/>
                <w:b/>
                <w:sz w:val="20"/>
                <w:szCs w:val="20"/>
                <w:lang w:val="en-AU"/>
              </w:rPr>
              <w:t>Pakaritanga</w:t>
            </w:r>
            <w:proofErr w:type="spellEnd"/>
            <w:r w:rsidRPr="00455168">
              <w:rPr>
                <w:rFonts w:asciiTheme="majorHAnsi" w:hAnsiTheme="majorHAnsi" w:cstheme="minorHAnsi"/>
                <w:b/>
                <w:sz w:val="20"/>
                <w:szCs w:val="20"/>
                <w:lang w:val="en-AU"/>
              </w:rPr>
              <w:t xml:space="preserve"> </w:t>
            </w:r>
            <w:r w:rsidRPr="00455168">
              <w:rPr>
                <w:rFonts w:asciiTheme="majorHAnsi" w:hAnsiTheme="majorHAnsi" w:cstheme="minorHAnsi"/>
                <w:sz w:val="20"/>
                <w:szCs w:val="20"/>
                <w:lang w:val="en-AU"/>
              </w:rPr>
              <w:t xml:space="preserve">(Achieving personal independence in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w:t>
            </w:r>
          </w:p>
          <w:p w14:paraId="1AD31A0A" w14:textId="77777777" w:rsidR="006411B4" w:rsidRPr="00455168" w:rsidRDefault="006411B4" w:rsidP="00CF6149">
            <w:pPr>
              <w:spacing w:line="276" w:lineRule="auto"/>
              <w:rPr>
                <w:rFonts w:asciiTheme="majorHAnsi" w:hAnsiTheme="majorHAnsi" w:cstheme="minorHAnsi"/>
                <w:sz w:val="20"/>
                <w:szCs w:val="20"/>
                <w:lang w:val="en-AU"/>
              </w:rPr>
            </w:pPr>
          </w:p>
          <w:p w14:paraId="2F9AB345"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Achievement Objectives further specify the focus for the development of </w:t>
            </w:r>
            <w:r w:rsidRPr="00455168">
              <w:rPr>
                <w:rFonts w:asciiTheme="majorHAnsi" w:hAnsiTheme="majorHAnsi" w:cstheme="minorHAnsi"/>
                <w:b/>
                <w:sz w:val="20"/>
                <w:szCs w:val="20"/>
                <w:lang w:val="en-AU"/>
              </w:rPr>
              <w:t xml:space="preserve">language skills </w:t>
            </w:r>
            <w:r w:rsidRPr="00455168">
              <w:rPr>
                <w:rFonts w:asciiTheme="majorHAnsi" w:hAnsiTheme="majorHAnsi" w:cstheme="minorHAnsi"/>
                <w:sz w:val="20"/>
                <w:szCs w:val="20"/>
                <w:lang w:val="en-AU"/>
              </w:rPr>
              <w:t xml:space="preserve">and </w:t>
            </w:r>
            <w:r w:rsidRPr="00455168">
              <w:rPr>
                <w:rFonts w:asciiTheme="majorHAnsi" w:hAnsiTheme="majorHAnsi" w:cstheme="minorHAnsi"/>
                <w:b/>
                <w:sz w:val="20"/>
                <w:szCs w:val="20"/>
                <w:lang w:val="en-AU"/>
              </w:rPr>
              <w:t>cultural knowledge</w:t>
            </w:r>
            <w:r w:rsidRPr="00455168">
              <w:rPr>
                <w:rFonts w:asciiTheme="majorHAnsi" w:hAnsiTheme="majorHAnsi" w:cstheme="minorHAnsi"/>
                <w:sz w:val="20"/>
                <w:szCs w:val="20"/>
                <w:lang w:val="en-AU"/>
              </w:rPr>
              <w:t xml:space="preserve">. </w:t>
            </w:r>
          </w:p>
          <w:p w14:paraId="5CDC3C66" w14:textId="77777777" w:rsidR="006411B4" w:rsidRPr="00455168" w:rsidRDefault="006411B4" w:rsidP="00CF6149">
            <w:pPr>
              <w:spacing w:line="276" w:lineRule="auto"/>
              <w:rPr>
                <w:rFonts w:asciiTheme="majorHAnsi" w:hAnsiTheme="majorHAnsi" w:cstheme="minorHAnsi"/>
                <w:sz w:val="20"/>
                <w:szCs w:val="20"/>
                <w:lang w:val="en-AU"/>
              </w:rPr>
            </w:pPr>
          </w:p>
          <w:p w14:paraId="08060933" w14:textId="77777777" w:rsidR="006411B4" w:rsidRPr="00455168" w:rsidRDefault="006411B4" w:rsidP="00CF6149">
            <w:pPr>
              <w:spacing w:line="276" w:lineRule="auto"/>
              <w:rPr>
                <w:rFonts w:asciiTheme="majorHAnsi" w:hAnsiTheme="majorHAnsi" w:cstheme="minorHAnsi"/>
                <w:sz w:val="22"/>
                <w:szCs w:val="22"/>
                <w:lang w:val="en-AU"/>
              </w:rPr>
            </w:pPr>
            <w:r w:rsidRPr="00455168">
              <w:rPr>
                <w:rFonts w:asciiTheme="majorHAnsi" w:hAnsiTheme="majorHAnsi" w:cstheme="minorHAnsi"/>
                <w:sz w:val="20"/>
                <w:szCs w:val="20"/>
                <w:lang w:val="en-AU"/>
              </w:rPr>
              <w:t xml:space="preserve">Teaching and learning programmes for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 should ensure coverage over time of the achievement objectives, but more importantly should allow for them to be revisited.  This is important to allow learners as they progress through the curriculum to be able to apply their increasingly sophisticated language skills.</w:t>
            </w:r>
          </w:p>
        </w:tc>
        <w:tc>
          <w:tcPr>
            <w:tcW w:w="2500" w:type="pct"/>
            <w:tcBorders>
              <w:top w:val="single" w:sz="4" w:space="0" w:color="auto"/>
              <w:bottom w:val="single" w:sz="4" w:space="0" w:color="auto"/>
            </w:tcBorders>
          </w:tcPr>
          <w:p w14:paraId="6A9B8B78" w14:textId="77777777" w:rsidR="006411B4" w:rsidRPr="00455168" w:rsidRDefault="006411B4" w:rsidP="00CF6149">
            <w:pPr>
              <w:spacing w:line="276" w:lineRule="auto"/>
              <w:rPr>
                <w:rFonts w:asciiTheme="majorHAnsi" w:hAnsiTheme="majorHAnsi"/>
                <w:b/>
                <w:i/>
                <w:sz w:val="56"/>
                <w:szCs w:val="56"/>
                <w:lang w:val="en-AU"/>
              </w:rPr>
            </w:pPr>
            <w:r w:rsidRPr="00455168">
              <w:rPr>
                <w:rFonts w:asciiTheme="majorHAnsi" w:hAnsiTheme="majorHAnsi"/>
                <w:b/>
                <w:i/>
                <w:sz w:val="56"/>
                <w:szCs w:val="56"/>
                <w:lang w:val="en-AU"/>
              </w:rPr>
              <w:t>NCEA</w:t>
            </w:r>
          </w:p>
          <w:p w14:paraId="6C425F4C"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 1 NCEA Achievement Standards are aligned to </w:t>
            </w:r>
            <w:r w:rsidRPr="00455168">
              <w:rPr>
                <w:rFonts w:asciiTheme="majorHAnsi" w:hAnsiTheme="majorHAnsi" w:cstheme="minorHAnsi"/>
                <w:b/>
                <w:sz w:val="20"/>
                <w:szCs w:val="20"/>
                <w:lang w:val="en-AU"/>
              </w:rPr>
              <w:t>Curriculum Level 6</w:t>
            </w:r>
            <w:r w:rsidRPr="00455168">
              <w:rPr>
                <w:rFonts w:asciiTheme="majorHAnsi" w:hAnsiTheme="majorHAnsi" w:cstheme="minorHAnsi"/>
                <w:sz w:val="20"/>
                <w:szCs w:val="20"/>
                <w:lang w:val="en-AU"/>
              </w:rPr>
              <w:t>, therefore the Level 6 Achievement Objectives need to be reflected in the teaching and learning programmes and also in the assessment tasks</w:t>
            </w:r>
          </w:p>
          <w:p w14:paraId="494EC53E" w14:textId="77777777" w:rsidR="006411B4" w:rsidRPr="00455168" w:rsidRDefault="006411B4" w:rsidP="00CF6149">
            <w:pPr>
              <w:spacing w:line="276" w:lineRule="auto"/>
              <w:rPr>
                <w:rFonts w:asciiTheme="majorHAnsi" w:hAnsiTheme="majorHAnsi" w:cstheme="minorHAnsi"/>
                <w:sz w:val="20"/>
                <w:szCs w:val="20"/>
                <w:lang w:val="en-AU"/>
              </w:rPr>
            </w:pPr>
          </w:p>
          <w:p w14:paraId="6DF1C53F"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 2 NCEA Achievement Standards are aligned to </w:t>
            </w:r>
            <w:r w:rsidRPr="00455168">
              <w:rPr>
                <w:rFonts w:asciiTheme="majorHAnsi" w:hAnsiTheme="majorHAnsi" w:cstheme="minorHAnsi"/>
                <w:b/>
                <w:sz w:val="20"/>
                <w:szCs w:val="20"/>
                <w:lang w:val="en-AU"/>
              </w:rPr>
              <w:t>Curriculum Level 7</w:t>
            </w:r>
          </w:p>
          <w:p w14:paraId="6F28E70A" w14:textId="77777777" w:rsidR="006411B4" w:rsidRPr="00455168" w:rsidRDefault="006411B4" w:rsidP="00CF6149">
            <w:pPr>
              <w:spacing w:line="276" w:lineRule="auto"/>
              <w:rPr>
                <w:rFonts w:asciiTheme="majorHAnsi" w:hAnsiTheme="majorHAnsi" w:cstheme="minorHAnsi"/>
                <w:sz w:val="20"/>
                <w:szCs w:val="20"/>
                <w:lang w:val="en-AU"/>
              </w:rPr>
            </w:pPr>
          </w:p>
          <w:p w14:paraId="0F344CDE"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Level 3 NCEA Achievement Standards are aligned to </w:t>
            </w:r>
            <w:r w:rsidRPr="00455168">
              <w:rPr>
                <w:rFonts w:asciiTheme="majorHAnsi" w:hAnsiTheme="majorHAnsi" w:cstheme="minorHAnsi"/>
                <w:b/>
                <w:sz w:val="20"/>
                <w:szCs w:val="20"/>
                <w:lang w:val="en-AU"/>
              </w:rPr>
              <w:t>Curriculum Level 7</w:t>
            </w:r>
          </w:p>
          <w:p w14:paraId="64759938" w14:textId="77777777" w:rsidR="006411B4" w:rsidRPr="00455168" w:rsidRDefault="006411B4" w:rsidP="00CF6149">
            <w:pPr>
              <w:spacing w:line="276" w:lineRule="auto"/>
              <w:rPr>
                <w:rFonts w:asciiTheme="majorHAnsi" w:hAnsiTheme="majorHAnsi" w:cstheme="minorHAnsi"/>
                <w:sz w:val="20"/>
                <w:szCs w:val="20"/>
                <w:lang w:val="en-AU"/>
              </w:rPr>
            </w:pPr>
          </w:p>
          <w:p w14:paraId="0E83D882"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The curriculum document that achievement standards for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 are derived from is </w:t>
            </w:r>
            <w:r w:rsidRPr="00455168">
              <w:rPr>
                <w:rFonts w:asciiTheme="majorHAnsi" w:hAnsiTheme="majorHAnsi" w:cstheme="minorHAnsi"/>
                <w:color w:val="4F81BD" w:themeColor="accent1"/>
                <w:sz w:val="20"/>
                <w:szCs w:val="20"/>
                <w:u w:val="single"/>
                <w:lang w:val="en-AU"/>
              </w:rPr>
              <w:t xml:space="preserve">Te </w:t>
            </w:r>
            <w:proofErr w:type="spellStart"/>
            <w:r w:rsidRPr="00455168">
              <w:rPr>
                <w:rFonts w:asciiTheme="majorHAnsi" w:hAnsiTheme="majorHAnsi" w:cstheme="minorHAnsi"/>
                <w:color w:val="4F81BD" w:themeColor="accent1"/>
                <w:sz w:val="20"/>
                <w:szCs w:val="20"/>
                <w:u w:val="single"/>
                <w:lang w:val="en-AU"/>
              </w:rPr>
              <w:t>Aho</w:t>
            </w:r>
            <w:proofErr w:type="spellEnd"/>
            <w:r w:rsidRPr="00455168">
              <w:rPr>
                <w:rFonts w:asciiTheme="majorHAnsi" w:hAnsiTheme="majorHAnsi" w:cstheme="minorHAnsi"/>
                <w:color w:val="4F81BD" w:themeColor="accent1"/>
                <w:sz w:val="20"/>
                <w:szCs w:val="20"/>
                <w:u w:val="single"/>
                <w:lang w:val="en-AU"/>
              </w:rPr>
              <w:t xml:space="preserve"> Arataki </w:t>
            </w:r>
            <w:proofErr w:type="spellStart"/>
            <w:r w:rsidRPr="00455168">
              <w:rPr>
                <w:rFonts w:asciiTheme="majorHAnsi" w:hAnsiTheme="majorHAnsi" w:cstheme="minorHAnsi"/>
                <w:color w:val="4F81BD" w:themeColor="accent1"/>
                <w:sz w:val="20"/>
                <w:szCs w:val="20"/>
                <w:u w:val="single"/>
                <w:lang w:val="en-AU"/>
              </w:rPr>
              <w:t>Marau</w:t>
            </w:r>
            <w:proofErr w:type="spellEnd"/>
            <w:r w:rsidRPr="00455168">
              <w:rPr>
                <w:rFonts w:asciiTheme="majorHAnsi" w:hAnsiTheme="majorHAnsi" w:cstheme="minorHAnsi"/>
                <w:color w:val="4F81BD" w:themeColor="accent1"/>
                <w:sz w:val="20"/>
                <w:szCs w:val="20"/>
                <w:u w:val="single"/>
                <w:lang w:val="en-AU"/>
              </w:rPr>
              <w:t xml:space="preserve"> </w:t>
            </w:r>
            <w:proofErr w:type="spellStart"/>
            <w:r w:rsidRPr="00455168">
              <w:rPr>
                <w:rFonts w:asciiTheme="majorHAnsi" w:hAnsiTheme="majorHAnsi" w:cstheme="minorHAnsi"/>
                <w:color w:val="4F81BD" w:themeColor="accent1"/>
                <w:sz w:val="20"/>
                <w:szCs w:val="20"/>
                <w:u w:val="single"/>
                <w:lang w:val="en-AU"/>
              </w:rPr>
              <w:t>mō</w:t>
            </w:r>
            <w:proofErr w:type="spellEnd"/>
            <w:r w:rsidRPr="00455168">
              <w:rPr>
                <w:rFonts w:asciiTheme="majorHAnsi" w:hAnsiTheme="majorHAnsi" w:cstheme="minorHAnsi"/>
                <w:color w:val="4F81BD" w:themeColor="accent1"/>
                <w:sz w:val="20"/>
                <w:szCs w:val="20"/>
                <w:u w:val="single"/>
                <w:lang w:val="en-AU"/>
              </w:rPr>
              <w:t xml:space="preserve"> </w:t>
            </w:r>
            <w:proofErr w:type="spellStart"/>
            <w:r w:rsidRPr="00455168">
              <w:rPr>
                <w:rFonts w:asciiTheme="majorHAnsi" w:hAnsiTheme="majorHAnsi" w:cstheme="minorHAnsi"/>
                <w:color w:val="4F81BD" w:themeColor="accent1"/>
                <w:sz w:val="20"/>
                <w:szCs w:val="20"/>
                <w:u w:val="single"/>
                <w:lang w:val="en-AU"/>
              </w:rPr>
              <w:t>te</w:t>
            </w:r>
            <w:proofErr w:type="spellEnd"/>
            <w:r w:rsidRPr="00455168">
              <w:rPr>
                <w:rFonts w:asciiTheme="majorHAnsi" w:hAnsiTheme="majorHAnsi" w:cstheme="minorHAnsi"/>
                <w:color w:val="4F81BD" w:themeColor="accent1"/>
                <w:sz w:val="20"/>
                <w:szCs w:val="20"/>
                <w:u w:val="single"/>
                <w:lang w:val="en-AU"/>
              </w:rPr>
              <w:t xml:space="preserve"> Ako </w:t>
            </w:r>
            <w:proofErr w:type="spellStart"/>
            <w:r w:rsidRPr="00455168">
              <w:rPr>
                <w:rFonts w:asciiTheme="majorHAnsi" w:hAnsiTheme="majorHAnsi" w:cstheme="minorHAnsi"/>
                <w:color w:val="4F81BD" w:themeColor="accent1"/>
                <w:sz w:val="20"/>
                <w:szCs w:val="20"/>
                <w:u w:val="single"/>
                <w:lang w:val="en-AU"/>
              </w:rPr>
              <w:t>i</w:t>
            </w:r>
            <w:proofErr w:type="spellEnd"/>
            <w:r w:rsidRPr="00455168">
              <w:rPr>
                <w:rFonts w:asciiTheme="majorHAnsi" w:hAnsiTheme="majorHAnsi" w:cstheme="minorHAnsi"/>
                <w:color w:val="4F81BD" w:themeColor="accent1"/>
                <w:sz w:val="20"/>
                <w:szCs w:val="20"/>
                <w:u w:val="single"/>
                <w:lang w:val="en-AU"/>
              </w:rPr>
              <w:t xml:space="preserve"> Te Reo Māori – Kura </w:t>
            </w:r>
            <w:proofErr w:type="spellStart"/>
            <w:r w:rsidRPr="00455168">
              <w:rPr>
                <w:rFonts w:asciiTheme="majorHAnsi" w:hAnsiTheme="majorHAnsi" w:cstheme="minorHAnsi"/>
                <w:color w:val="4F81BD" w:themeColor="accent1"/>
                <w:sz w:val="20"/>
                <w:szCs w:val="20"/>
                <w:u w:val="single"/>
                <w:lang w:val="en-AU"/>
              </w:rPr>
              <w:t>Auraki</w:t>
            </w:r>
            <w:proofErr w:type="spellEnd"/>
          </w:p>
          <w:p w14:paraId="73159A90" w14:textId="77777777" w:rsidR="006411B4" w:rsidRPr="00455168" w:rsidRDefault="006411B4" w:rsidP="00CF6149">
            <w:pPr>
              <w:spacing w:line="276" w:lineRule="auto"/>
              <w:rPr>
                <w:rFonts w:asciiTheme="majorHAnsi" w:hAnsiTheme="majorHAnsi" w:cstheme="minorHAnsi"/>
                <w:sz w:val="20"/>
                <w:szCs w:val="20"/>
                <w:lang w:val="en-AU"/>
              </w:rPr>
            </w:pPr>
          </w:p>
          <w:p w14:paraId="1ED76E04" w14:textId="77777777" w:rsidR="006411B4" w:rsidRPr="00455168" w:rsidRDefault="004E394E" w:rsidP="00CF6149">
            <w:pPr>
              <w:spacing w:line="276" w:lineRule="auto"/>
              <w:rPr>
                <w:rFonts w:asciiTheme="majorHAnsi" w:hAnsiTheme="majorHAnsi" w:cstheme="minorHAnsi"/>
                <w:sz w:val="20"/>
                <w:szCs w:val="20"/>
                <w:lang w:val="en-AU"/>
              </w:rPr>
            </w:pPr>
            <w:hyperlink r:id="rId6" w:history="1">
              <w:r w:rsidR="006411B4" w:rsidRPr="00455168">
                <w:rPr>
                  <w:rStyle w:val="Hyperlink"/>
                  <w:rFonts w:asciiTheme="majorHAnsi" w:hAnsiTheme="majorHAnsi" w:cstheme="minorHAnsi"/>
                  <w:color w:val="4F81BD" w:themeColor="accent1"/>
                  <w:sz w:val="20"/>
                  <w:szCs w:val="20"/>
                  <w:lang w:val="en-AU"/>
                </w:rPr>
                <w:t xml:space="preserve">Internal assessment resources for </w:t>
              </w:r>
              <w:proofErr w:type="spellStart"/>
              <w:r w:rsidR="006411B4" w:rsidRPr="00455168">
                <w:rPr>
                  <w:rStyle w:val="Hyperlink"/>
                  <w:rFonts w:asciiTheme="majorHAnsi" w:hAnsiTheme="majorHAnsi" w:cstheme="minorHAnsi"/>
                  <w:color w:val="4F81BD" w:themeColor="accent1"/>
                  <w:sz w:val="20"/>
                  <w:szCs w:val="20"/>
                  <w:lang w:val="en-AU"/>
                </w:rPr>
                <w:t>te</w:t>
              </w:r>
              <w:proofErr w:type="spellEnd"/>
              <w:r w:rsidR="006411B4" w:rsidRPr="00455168">
                <w:rPr>
                  <w:rStyle w:val="Hyperlink"/>
                  <w:rFonts w:asciiTheme="majorHAnsi" w:hAnsiTheme="majorHAnsi" w:cstheme="minorHAnsi"/>
                  <w:color w:val="4F81BD" w:themeColor="accent1"/>
                  <w:sz w:val="20"/>
                  <w:szCs w:val="20"/>
                  <w:lang w:val="en-AU"/>
                </w:rPr>
                <w:t xml:space="preserve"> reo Māori</w:t>
              </w:r>
            </w:hyperlink>
            <w:r w:rsidR="006411B4" w:rsidRPr="00455168">
              <w:rPr>
                <w:rFonts w:asciiTheme="majorHAnsi" w:hAnsiTheme="majorHAnsi" w:cstheme="minorHAnsi"/>
                <w:sz w:val="20"/>
                <w:szCs w:val="20"/>
                <w:lang w:val="en-AU"/>
              </w:rPr>
              <w:t xml:space="preserve"> are available on TKI, the </w:t>
            </w:r>
            <w:proofErr w:type="spellStart"/>
            <w:r w:rsidR="006411B4" w:rsidRPr="00455168">
              <w:rPr>
                <w:rFonts w:asciiTheme="majorHAnsi" w:hAnsiTheme="majorHAnsi" w:cstheme="minorHAnsi"/>
                <w:b/>
                <w:sz w:val="20"/>
                <w:szCs w:val="20"/>
                <w:lang w:val="en-AU"/>
              </w:rPr>
              <w:t>whakarongo</w:t>
            </w:r>
            <w:proofErr w:type="spellEnd"/>
            <w:r w:rsidR="006411B4" w:rsidRPr="00455168">
              <w:rPr>
                <w:rFonts w:asciiTheme="majorHAnsi" w:hAnsiTheme="majorHAnsi" w:cstheme="minorHAnsi"/>
                <w:sz w:val="20"/>
                <w:szCs w:val="20"/>
                <w:lang w:val="en-AU"/>
              </w:rPr>
              <w:t xml:space="preserve"> assessment tasks and schedules MUST be modified to ensure authenticity.</w:t>
            </w:r>
          </w:p>
          <w:p w14:paraId="49A451EA" w14:textId="77777777" w:rsidR="006411B4" w:rsidRPr="00455168" w:rsidRDefault="006411B4" w:rsidP="00CF6149">
            <w:pPr>
              <w:spacing w:line="276" w:lineRule="auto"/>
              <w:rPr>
                <w:rFonts w:asciiTheme="majorHAnsi" w:hAnsiTheme="majorHAnsi" w:cstheme="minorHAnsi"/>
                <w:sz w:val="20"/>
                <w:szCs w:val="20"/>
                <w:lang w:val="en-AU"/>
              </w:rPr>
            </w:pPr>
          </w:p>
          <w:p w14:paraId="3FE75C45" w14:textId="77777777" w:rsidR="006411B4" w:rsidRDefault="006411B4" w:rsidP="00CF6149">
            <w:pPr>
              <w:spacing w:line="276" w:lineRule="auto"/>
              <w:rPr>
                <w:rFonts w:asciiTheme="majorHAnsi" w:hAnsiTheme="majorHAnsi" w:cstheme="minorHAnsi"/>
                <w:color w:val="4F81BD" w:themeColor="accent1"/>
                <w:sz w:val="20"/>
                <w:szCs w:val="20"/>
                <w:lang w:val="en-AU"/>
              </w:rPr>
            </w:pPr>
            <w:r w:rsidRPr="00455168">
              <w:rPr>
                <w:rFonts w:asciiTheme="majorHAnsi" w:hAnsiTheme="majorHAnsi" w:cstheme="minorHAnsi"/>
                <w:sz w:val="20"/>
                <w:szCs w:val="20"/>
                <w:lang w:val="en-AU"/>
              </w:rPr>
              <w:t xml:space="preserve">Teachers administering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 programmes at NCEA levels should be familiar with the resources on the </w:t>
            </w:r>
            <w:hyperlink r:id="rId7" w:history="1">
              <w:r w:rsidRPr="00455168">
                <w:rPr>
                  <w:rStyle w:val="Hyperlink"/>
                  <w:rFonts w:asciiTheme="majorHAnsi" w:hAnsiTheme="majorHAnsi" w:cstheme="minorHAnsi"/>
                  <w:color w:val="4F81BD" w:themeColor="accent1"/>
                  <w:sz w:val="20"/>
                  <w:szCs w:val="20"/>
                  <w:lang w:val="en-AU"/>
                </w:rPr>
                <w:t xml:space="preserve">NZQA </w:t>
              </w:r>
              <w:proofErr w:type="spellStart"/>
              <w:r w:rsidRPr="00455168">
                <w:rPr>
                  <w:rStyle w:val="Hyperlink"/>
                  <w:rFonts w:asciiTheme="majorHAnsi" w:hAnsiTheme="majorHAnsi" w:cstheme="minorHAnsi"/>
                  <w:color w:val="4F81BD" w:themeColor="accent1"/>
                  <w:sz w:val="20"/>
                  <w:szCs w:val="20"/>
                  <w:lang w:val="en-AU"/>
                </w:rPr>
                <w:t>te</w:t>
              </w:r>
              <w:proofErr w:type="spellEnd"/>
              <w:r w:rsidRPr="00455168">
                <w:rPr>
                  <w:rStyle w:val="Hyperlink"/>
                  <w:rFonts w:asciiTheme="majorHAnsi" w:hAnsiTheme="majorHAnsi" w:cstheme="minorHAnsi"/>
                  <w:color w:val="4F81BD" w:themeColor="accent1"/>
                  <w:sz w:val="20"/>
                  <w:szCs w:val="20"/>
                  <w:lang w:val="en-AU"/>
                </w:rPr>
                <w:t xml:space="preserve"> reo Māori subject page</w:t>
              </w:r>
            </w:hyperlink>
          </w:p>
          <w:p w14:paraId="29CB89E0" w14:textId="77777777" w:rsidR="000C5F55" w:rsidRPr="00455168" w:rsidRDefault="000C5F55" w:rsidP="00CF6149">
            <w:pPr>
              <w:spacing w:line="276" w:lineRule="auto"/>
              <w:rPr>
                <w:rFonts w:asciiTheme="majorHAnsi" w:hAnsiTheme="majorHAnsi" w:cstheme="minorHAnsi"/>
                <w:sz w:val="22"/>
                <w:szCs w:val="22"/>
                <w:lang w:val="en-AU"/>
              </w:rPr>
            </w:pPr>
          </w:p>
        </w:tc>
      </w:tr>
      <w:tr w:rsidR="006411B4" w:rsidRPr="00455168" w14:paraId="6001A654" w14:textId="77777777" w:rsidTr="00CF6149">
        <w:tc>
          <w:tcPr>
            <w:tcW w:w="2500" w:type="pct"/>
            <w:tcBorders>
              <w:top w:val="single" w:sz="4" w:space="0" w:color="auto"/>
              <w:bottom w:val="single" w:sz="4" w:space="0" w:color="auto"/>
            </w:tcBorders>
          </w:tcPr>
          <w:p w14:paraId="28C4F6CE" w14:textId="77777777" w:rsidR="006411B4" w:rsidRPr="00455168" w:rsidRDefault="006411B4" w:rsidP="00CF6149">
            <w:pPr>
              <w:spacing w:line="276" w:lineRule="auto"/>
              <w:rPr>
                <w:rFonts w:asciiTheme="majorHAnsi" w:hAnsiTheme="majorHAnsi"/>
                <w:b/>
                <w:i/>
                <w:sz w:val="56"/>
                <w:szCs w:val="56"/>
                <w:lang w:val="en-AU"/>
              </w:rPr>
            </w:pPr>
            <w:r w:rsidRPr="00455168">
              <w:rPr>
                <w:rFonts w:asciiTheme="majorHAnsi" w:hAnsiTheme="majorHAnsi"/>
                <w:b/>
                <w:i/>
                <w:sz w:val="56"/>
                <w:szCs w:val="56"/>
                <w:lang w:val="en-AU"/>
              </w:rPr>
              <w:t>Planning</w:t>
            </w:r>
          </w:p>
          <w:p w14:paraId="273CF8A2" w14:textId="77777777" w:rsidR="006411B4" w:rsidRPr="00455168" w:rsidRDefault="006411B4" w:rsidP="00CF6149">
            <w:p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 xml:space="preserve">When planning progressive programmes for </w:t>
            </w:r>
            <w:proofErr w:type="spellStart"/>
            <w:r w:rsidRPr="00455168">
              <w:rPr>
                <w:rFonts w:asciiTheme="majorHAnsi" w:hAnsiTheme="majorHAnsi" w:cstheme="minorHAnsi"/>
                <w:sz w:val="20"/>
                <w:szCs w:val="20"/>
                <w:lang w:val="en-AU"/>
              </w:rPr>
              <w:t>te</w:t>
            </w:r>
            <w:proofErr w:type="spellEnd"/>
            <w:r w:rsidRPr="00455168">
              <w:rPr>
                <w:rFonts w:asciiTheme="majorHAnsi" w:hAnsiTheme="majorHAnsi" w:cstheme="minorHAnsi"/>
                <w:sz w:val="20"/>
                <w:szCs w:val="20"/>
                <w:lang w:val="en-AU"/>
              </w:rPr>
              <w:t xml:space="preserve"> reo Māori, teachers need to consider:</w:t>
            </w:r>
          </w:p>
          <w:p w14:paraId="691B1BE1" w14:textId="77777777" w:rsidR="006411B4" w:rsidRPr="00455168" w:rsidRDefault="006411B4" w:rsidP="00CF6149">
            <w:pPr>
              <w:pStyle w:val="ListParagraph"/>
              <w:numPr>
                <w:ilvl w:val="0"/>
                <w:numId w:val="2"/>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The broad goals within the proficiency target statements</w:t>
            </w:r>
          </w:p>
          <w:p w14:paraId="500971B3" w14:textId="77777777" w:rsidR="006411B4" w:rsidRPr="00455168" w:rsidRDefault="006411B4" w:rsidP="00CF6149">
            <w:pPr>
              <w:pStyle w:val="ListParagraph"/>
              <w:numPr>
                <w:ilvl w:val="0"/>
                <w:numId w:val="2"/>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Coverage and revisiting of Achievement Objectives across curriculum levels</w:t>
            </w:r>
          </w:p>
          <w:p w14:paraId="155BB1DA" w14:textId="77777777" w:rsidR="006411B4" w:rsidRPr="00455168" w:rsidRDefault="006411B4" w:rsidP="00CF6149">
            <w:pPr>
              <w:pStyle w:val="ListParagraph"/>
              <w:numPr>
                <w:ilvl w:val="0"/>
                <w:numId w:val="2"/>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Skills development across all language modes (</w:t>
            </w:r>
            <w:proofErr w:type="spellStart"/>
            <w:r w:rsidRPr="00455168">
              <w:rPr>
                <w:rFonts w:asciiTheme="majorHAnsi" w:hAnsiTheme="majorHAnsi" w:cstheme="minorHAnsi"/>
                <w:sz w:val="20"/>
                <w:szCs w:val="20"/>
                <w:lang w:val="en-AU"/>
              </w:rPr>
              <w:t>ara</w:t>
            </w:r>
            <w:proofErr w:type="spellEnd"/>
            <w:r w:rsidRPr="00455168">
              <w:rPr>
                <w:rFonts w:asciiTheme="majorHAnsi" w:hAnsiTheme="majorHAnsi" w:cstheme="minorHAnsi"/>
                <w:sz w:val="20"/>
                <w:szCs w:val="20"/>
                <w:lang w:val="en-AU"/>
              </w:rPr>
              <w:t xml:space="preserve"> reo)</w:t>
            </w:r>
          </w:p>
          <w:p w14:paraId="79C2B928" w14:textId="77777777" w:rsidR="006411B4" w:rsidRPr="00455168" w:rsidRDefault="006411B4" w:rsidP="00CF6149">
            <w:pPr>
              <w:pStyle w:val="ListParagraph"/>
              <w:numPr>
                <w:ilvl w:val="0"/>
                <w:numId w:val="2"/>
              </w:numPr>
              <w:spacing w:line="276" w:lineRule="auto"/>
              <w:rPr>
                <w:rFonts w:asciiTheme="majorHAnsi" w:hAnsiTheme="majorHAnsi" w:cstheme="minorHAnsi"/>
                <w:sz w:val="20"/>
                <w:szCs w:val="20"/>
                <w:lang w:val="en-AU"/>
              </w:rPr>
            </w:pPr>
            <w:r w:rsidRPr="00455168">
              <w:rPr>
                <w:rFonts w:asciiTheme="majorHAnsi" w:hAnsiTheme="majorHAnsi" w:cstheme="minorHAnsi"/>
                <w:sz w:val="20"/>
                <w:szCs w:val="20"/>
                <w:lang w:val="en-AU"/>
              </w:rPr>
              <w:t>Diversity across contexts, topics and text types</w:t>
            </w:r>
          </w:p>
          <w:p w14:paraId="3E461FE1" w14:textId="77777777" w:rsidR="006411B4" w:rsidRDefault="006411B4" w:rsidP="00CF6149">
            <w:pPr>
              <w:pStyle w:val="ListParagraph"/>
              <w:numPr>
                <w:ilvl w:val="0"/>
                <w:numId w:val="2"/>
              </w:numPr>
              <w:spacing w:line="276" w:lineRule="auto"/>
              <w:rPr>
                <w:rFonts w:asciiTheme="majorHAnsi" w:hAnsiTheme="majorHAnsi" w:cstheme="minorHAnsi"/>
                <w:sz w:val="22"/>
                <w:szCs w:val="22"/>
                <w:lang w:val="en-AU"/>
              </w:rPr>
            </w:pPr>
            <w:r w:rsidRPr="00455168">
              <w:rPr>
                <w:rFonts w:asciiTheme="majorHAnsi" w:hAnsiTheme="majorHAnsi" w:cstheme="minorHAnsi"/>
                <w:sz w:val="20"/>
                <w:szCs w:val="20"/>
                <w:lang w:val="en-AU"/>
              </w:rPr>
              <w:t>Appropriate and relevant strategies and techniques to support language learning and acquisition</w:t>
            </w:r>
            <w:r w:rsidRPr="00455168">
              <w:rPr>
                <w:rFonts w:asciiTheme="majorHAnsi" w:hAnsiTheme="majorHAnsi" w:cstheme="minorHAnsi"/>
                <w:sz w:val="22"/>
                <w:szCs w:val="22"/>
                <w:lang w:val="en-AU"/>
              </w:rPr>
              <w:t xml:space="preserve"> </w:t>
            </w:r>
          </w:p>
          <w:p w14:paraId="2341C764" w14:textId="77777777" w:rsidR="000C5F55" w:rsidRPr="00455168" w:rsidRDefault="000C5F55" w:rsidP="000C5F55">
            <w:pPr>
              <w:pStyle w:val="ListParagraph"/>
              <w:spacing w:line="276" w:lineRule="auto"/>
              <w:ind w:left="360"/>
              <w:rPr>
                <w:rFonts w:asciiTheme="majorHAnsi" w:hAnsiTheme="majorHAnsi" w:cstheme="minorHAnsi"/>
                <w:sz w:val="22"/>
                <w:szCs w:val="22"/>
                <w:lang w:val="en-AU"/>
              </w:rPr>
            </w:pPr>
          </w:p>
        </w:tc>
        <w:tc>
          <w:tcPr>
            <w:tcW w:w="2500" w:type="pct"/>
            <w:tcBorders>
              <w:top w:val="single" w:sz="4" w:space="0" w:color="auto"/>
              <w:bottom w:val="single" w:sz="4" w:space="0" w:color="auto"/>
            </w:tcBorders>
          </w:tcPr>
          <w:p w14:paraId="2D8B1A33" w14:textId="77777777" w:rsidR="006411B4" w:rsidRPr="00455168" w:rsidRDefault="006411B4" w:rsidP="00CF6149">
            <w:pPr>
              <w:spacing w:line="276" w:lineRule="auto"/>
              <w:rPr>
                <w:rFonts w:asciiTheme="majorHAnsi" w:hAnsiTheme="majorHAnsi"/>
                <w:b/>
                <w:i/>
                <w:sz w:val="56"/>
                <w:szCs w:val="56"/>
                <w:lang w:val="en-AU"/>
              </w:rPr>
            </w:pPr>
            <w:r w:rsidRPr="00455168">
              <w:rPr>
                <w:rFonts w:asciiTheme="majorHAnsi" w:hAnsiTheme="majorHAnsi"/>
                <w:b/>
                <w:i/>
                <w:sz w:val="56"/>
                <w:szCs w:val="56"/>
                <w:lang w:val="en-AU"/>
              </w:rPr>
              <w:t>Resources</w:t>
            </w:r>
          </w:p>
          <w:p w14:paraId="4C78EC52"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8" w:anchor="filter=.te-reo-maori" w:history="1">
              <w:r w:rsidR="006411B4" w:rsidRPr="00455168">
                <w:rPr>
                  <w:rStyle w:val="Hyperlink"/>
                  <w:rFonts w:asciiTheme="majorHAnsi" w:hAnsiTheme="majorHAnsi"/>
                  <w:color w:val="4F81BD" w:themeColor="accent1"/>
                  <w:sz w:val="20"/>
                  <w:szCs w:val="20"/>
                </w:rPr>
                <w:t xml:space="preserve">Ako Panuku resources for </w:t>
              </w:r>
              <w:proofErr w:type="spellStart"/>
              <w:r w:rsidR="006411B4" w:rsidRPr="00455168">
                <w:rPr>
                  <w:rStyle w:val="Hyperlink"/>
                  <w:rFonts w:asciiTheme="majorHAnsi" w:hAnsiTheme="majorHAnsi"/>
                  <w:color w:val="4F81BD" w:themeColor="accent1"/>
                  <w:sz w:val="20"/>
                  <w:szCs w:val="20"/>
                </w:rPr>
                <w:t>te</w:t>
              </w:r>
              <w:proofErr w:type="spellEnd"/>
              <w:r w:rsidR="006411B4" w:rsidRPr="00455168">
                <w:rPr>
                  <w:rStyle w:val="Hyperlink"/>
                  <w:rFonts w:asciiTheme="majorHAnsi" w:hAnsiTheme="majorHAnsi"/>
                  <w:color w:val="4F81BD" w:themeColor="accent1"/>
                  <w:sz w:val="20"/>
                  <w:szCs w:val="20"/>
                </w:rPr>
                <w:t xml:space="preserve"> reo Māori </w:t>
              </w:r>
            </w:hyperlink>
          </w:p>
          <w:p w14:paraId="560EDECE" w14:textId="77777777" w:rsidR="006411B4" w:rsidRPr="006411B4"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9" w:history="1">
              <w:r w:rsidR="006411B4" w:rsidRPr="006411B4">
                <w:rPr>
                  <w:rStyle w:val="Hyperlink"/>
                  <w:rFonts w:asciiTheme="majorHAnsi" w:eastAsia="Times New Roman" w:hAnsiTheme="majorHAnsi"/>
                  <w:color w:val="4F81BD" w:themeColor="accent1"/>
                  <w:sz w:val="20"/>
                  <w:szCs w:val="20"/>
                  <w:bdr w:val="none" w:sz="0" w:space="0" w:color="auto" w:frame="1"/>
                  <w:lang w:val="en-AU"/>
                </w:rPr>
                <w:t>High frequency vocabulary lists – 1000 keywords</w:t>
              </w:r>
            </w:hyperlink>
            <w:r w:rsidR="006411B4" w:rsidRPr="006411B4">
              <w:rPr>
                <w:rFonts w:asciiTheme="majorHAnsi" w:eastAsia="Times New Roman" w:hAnsiTheme="majorHAnsi"/>
                <w:color w:val="4F81BD" w:themeColor="accent1"/>
                <w:sz w:val="20"/>
                <w:szCs w:val="20"/>
                <w:bdr w:val="none" w:sz="0" w:space="0" w:color="auto" w:frame="1"/>
                <w:lang w:val="en-AU"/>
              </w:rPr>
              <w:t xml:space="preserve"> </w:t>
            </w:r>
          </w:p>
          <w:p w14:paraId="13865696"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10" w:history="1">
              <w:r w:rsidR="006411B4" w:rsidRPr="00455168">
                <w:rPr>
                  <w:rStyle w:val="Hyperlink"/>
                  <w:rFonts w:asciiTheme="majorHAnsi" w:eastAsia="Times New Roman" w:hAnsiTheme="majorHAnsi"/>
                  <w:color w:val="4F81BD" w:themeColor="accent1"/>
                  <w:sz w:val="20"/>
                  <w:szCs w:val="20"/>
                  <w:bdr w:val="none" w:sz="0" w:space="0" w:color="auto" w:frame="1"/>
                  <w:lang w:val="en-AU"/>
                </w:rPr>
                <w:t>Examples of learner and teacher assessment checklists</w:t>
              </w:r>
            </w:hyperlink>
          </w:p>
          <w:p w14:paraId="23B4727D"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11" w:history="1">
              <w:r w:rsidR="006411B4" w:rsidRPr="00455168">
                <w:rPr>
                  <w:rStyle w:val="Hyperlink"/>
                  <w:rFonts w:asciiTheme="majorHAnsi" w:eastAsia="Times New Roman" w:hAnsiTheme="majorHAnsi"/>
                  <w:color w:val="4F81BD" w:themeColor="accent1"/>
                  <w:sz w:val="20"/>
                  <w:szCs w:val="20"/>
                  <w:bdr w:val="none" w:sz="0" w:space="0" w:color="auto" w:frame="1"/>
                  <w:lang w:val="en-AU"/>
                </w:rPr>
                <w:t>Examples of learner goal setting</w:t>
              </w:r>
            </w:hyperlink>
          </w:p>
          <w:p w14:paraId="5C98EF83"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12" w:history="1">
              <w:r w:rsidR="006411B4" w:rsidRPr="00455168">
                <w:rPr>
                  <w:rStyle w:val="Hyperlink"/>
                  <w:rFonts w:asciiTheme="majorHAnsi" w:eastAsia="Times New Roman" w:hAnsiTheme="majorHAnsi"/>
                  <w:color w:val="4F81BD" w:themeColor="accent1"/>
                  <w:sz w:val="20"/>
                  <w:szCs w:val="20"/>
                  <w:bdr w:val="none" w:sz="0" w:space="0" w:color="auto" w:frame="1"/>
                  <w:lang w:val="en-AU"/>
                </w:rPr>
                <w:t>Examples of learner strategies</w:t>
              </w:r>
            </w:hyperlink>
          </w:p>
          <w:p w14:paraId="72296714"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13" w:history="1">
              <w:r w:rsidR="006411B4" w:rsidRPr="00455168">
                <w:rPr>
                  <w:rStyle w:val="Hyperlink"/>
                  <w:rFonts w:asciiTheme="majorHAnsi" w:eastAsia="Times New Roman" w:hAnsiTheme="majorHAnsi"/>
                  <w:color w:val="4F81BD" w:themeColor="accent1"/>
                  <w:sz w:val="20"/>
                  <w:szCs w:val="20"/>
                  <w:bdr w:val="none" w:sz="0" w:space="0" w:color="auto" w:frame="1"/>
                  <w:lang w:val="en-AU"/>
                </w:rPr>
                <w:t>Bibliography of articles and books on language teaching</w:t>
              </w:r>
            </w:hyperlink>
          </w:p>
          <w:p w14:paraId="39645916"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sz w:val="20"/>
                <w:szCs w:val="20"/>
                <w:lang w:val="en-AU"/>
              </w:rPr>
            </w:pPr>
            <w:hyperlink r:id="rId14" w:history="1">
              <w:r w:rsidR="006411B4" w:rsidRPr="00455168">
                <w:rPr>
                  <w:rStyle w:val="Hyperlink"/>
                  <w:rFonts w:asciiTheme="majorHAnsi" w:eastAsia="Times New Roman" w:hAnsiTheme="majorHAnsi"/>
                  <w:color w:val="4F81BD" w:themeColor="accent1"/>
                  <w:sz w:val="20"/>
                  <w:szCs w:val="20"/>
                  <w:bdr w:val="none" w:sz="0" w:space="0" w:color="auto" w:frame="1"/>
                  <w:lang w:val="en-AU"/>
                </w:rPr>
                <w:t>Grammar progression outline with references</w:t>
              </w:r>
            </w:hyperlink>
          </w:p>
          <w:p w14:paraId="59BA6D58" w14:textId="77777777" w:rsidR="006411B4" w:rsidRPr="00455168" w:rsidRDefault="004E394E" w:rsidP="00CF6149">
            <w:pPr>
              <w:pStyle w:val="ListParagraph"/>
              <w:numPr>
                <w:ilvl w:val="0"/>
                <w:numId w:val="3"/>
              </w:numPr>
              <w:spacing w:line="276" w:lineRule="auto"/>
              <w:textAlignment w:val="baseline"/>
              <w:rPr>
                <w:rFonts w:asciiTheme="majorHAnsi" w:eastAsia="Times New Roman" w:hAnsiTheme="majorHAnsi"/>
                <w:color w:val="333333"/>
                <w:sz w:val="22"/>
                <w:szCs w:val="22"/>
                <w:lang w:val="en-AU"/>
              </w:rPr>
            </w:pPr>
            <w:hyperlink r:id="rId15" w:history="1">
              <w:r w:rsidR="006411B4" w:rsidRPr="00455168">
                <w:rPr>
                  <w:rStyle w:val="Hyperlink"/>
                  <w:rFonts w:asciiTheme="majorHAnsi" w:eastAsia="Times New Roman" w:hAnsiTheme="majorHAnsi"/>
                  <w:color w:val="4F81BD" w:themeColor="accent1"/>
                  <w:sz w:val="20"/>
                  <w:szCs w:val="20"/>
                  <w:bdr w:val="none" w:sz="0" w:space="0" w:color="auto" w:frame="1"/>
                  <w:lang w:val="en-AU"/>
                </w:rPr>
                <w:t>Language learning task types and sample tasks in Māori</w:t>
              </w:r>
            </w:hyperlink>
          </w:p>
        </w:tc>
      </w:tr>
    </w:tbl>
    <w:p w14:paraId="7D06DB2B" w14:textId="77777777" w:rsidR="00170C19" w:rsidRDefault="00170C19"/>
    <w:sectPr w:rsidR="00170C19" w:rsidSect="000216DA">
      <w:pgSz w:w="11900" w:h="16840"/>
      <w:pgMar w:top="964" w:right="1134" w:bottom="964"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Hebrew">
    <w:charset w:val="B1"/>
    <w:family w:val="auto"/>
    <w:pitch w:val="variable"/>
    <w:sig w:usb0="80000843" w:usb1="4000200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6F7"/>
    <w:multiLevelType w:val="hybridMultilevel"/>
    <w:tmpl w:val="8336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E32D3"/>
    <w:multiLevelType w:val="hybridMultilevel"/>
    <w:tmpl w:val="1CCE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626CCB"/>
    <w:multiLevelType w:val="hybridMultilevel"/>
    <w:tmpl w:val="C7D27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B4"/>
    <w:rsid w:val="00093EBD"/>
    <w:rsid w:val="000C5F55"/>
    <w:rsid w:val="00170C19"/>
    <w:rsid w:val="00283DD6"/>
    <w:rsid w:val="004E394E"/>
    <w:rsid w:val="006411B4"/>
    <w:rsid w:val="00D937FC"/>
    <w:rsid w:val="00F47E0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DFCB3"/>
  <w14:defaultImageDpi w14:val="300"/>
  <w15:docId w15:val="{BDB48FD0-8EF1-438D-B2A4-954F53FE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Hebrew"/>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B4"/>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1B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1B4"/>
    <w:rPr>
      <w:color w:val="0000FF" w:themeColor="hyperlink"/>
      <w:u w:val="single"/>
    </w:rPr>
  </w:style>
  <w:style w:type="paragraph" w:styleId="ListParagraph">
    <w:name w:val="List Paragraph"/>
    <w:basedOn w:val="Normal"/>
    <w:uiPriority w:val="34"/>
    <w:qFormat/>
    <w:rsid w:val="006411B4"/>
    <w:pPr>
      <w:ind w:left="720"/>
      <w:contextualSpacing/>
    </w:pPr>
  </w:style>
  <w:style w:type="character" w:styleId="FollowedHyperlink">
    <w:name w:val="FollowedHyperlink"/>
    <w:basedOn w:val="DefaultParagraphFont"/>
    <w:uiPriority w:val="99"/>
    <w:semiHidden/>
    <w:unhideWhenUsed/>
    <w:rsid w:val="00283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opanuku.tki.org.nz/rauemi/curriculum/" TargetMode="External"/><Relationship Id="rId13" Type="http://schemas.openxmlformats.org/officeDocument/2006/relationships/hyperlink" Target="http://tereomaori.tki.org.nz/Teacher-tools/Te-Whakaipurangi-Rauemi/Bibliography-for-teacher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zqa.govt.nz/ncea/subjects/te-reo-maori/levels/" TargetMode="External"/><Relationship Id="rId12" Type="http://schemas.openxmlformats.org/officeDocument/2006/relationships/hyperlink" Target="http://tereomaori.tki.org.nz/Teacher-tools/Te-Whakaipurangi-Rauemi/Examples-of-learner-strateg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ncea.tki.org.nz/Resources-for-Internally-Assessed-Achievement-Standards/Te-Reo-Maori" TargetMode="External"/><Relationship Id="rId11" Type="http://schemas.openxmlformats.org/officeDocument/2006/relationships/hyperlink" Target="http://tereomaori.tki.org.nz/Teacher-tools/Te-Whakaipurangi-Rauemi/Examples-of-learner-goal-setting" TargetMode="External"/><Relationship Id="rId5" Type="http://schemas.openxmlformats.org/officeDocument/2006/relationships/image" Target="media/image1.tiff"/><Relationship Id="rId15" Type="http://schemas.openxmlformats.org/officeDocument/2006/relationships/hyperlink" Target="http://tereomaori.tki.org.nz/Teacher-tools/Te-Whakaipurangi-Rauemi/Examples-of-second-language-learning-tasks" TargetMode="External"/><Relationship Id="rId10" Type="http://schemas.openxmlformats.org/officeDocument/2006/relationships/hyperlink" Target="http://tereomaori.tki.org.nz/Teacher-tools/Te-Whakaipurangi-Rauemi/Learner-and-teacher-assessment-checklist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tereomaori.tki.org.nz/Teacher-tools/Te-Whakaipurangi-Rauemi/High-frequency-word-lists" TargetMode="External"/><Relationship Id="rId14" Type="http://schemas.openxmlformats.org/officeDocument/2006/relationships/hyperlink" Target="http://tereomaori.tki.org.nz/Teacher-tools/Te-Whakaipurangi-Rauemi/Grammar-Progressio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A009C6AB-0633-4B81-B276-2F08FB545A32}"/>
</file>

<file path=customXml/itemProps2.xml><?xml version="1.0" encoding="utf-8"?>
<ds:datastoreItem xmlns:ds="http://schemas.openxmlformats.org/officeDocument/2006/customXml" ds:itemID="{B2C80CC8-5D20-437F-94B4-0F897110C8C1}"/>
</file>

<file path=customXml/itemProps3.xml><?xml version="1.0" encoding="utf-8"?>
<ds:datastoreItem xmlns:ds="http://schemas.openxmlformats.org/officeDocument/2006/customXml" ds:itemID="{BFE6E419-FBA0-4B97-BF53-73208DF0DAF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Reid</dc:creator>
  <cp:keywords/>
  <dc:description/>
  <cp:lastModifiedBy>Shyree Reedy</cp:lastModifiedBy>
  <cp:revision>2</cp:revision>
  <dcterms:created xsi:type="dcterms:W3CDTF">2022-03-24T00:46:00Z</dcterms:created>
  <dcterms:modified xsi:type="dcterms:W3CDTF">2022-03-24T00:46:00Z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